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32" w:rsidRPr="00D358FA" w:rsidRDefault="00980832" w:rsidP="00980832">
      <w:pPr>
        <w:shd w:val="clear" w:color="auto" w:fill="FFFFFF"/>
        <w:spacing w:after="0" w:line="240" w:lineRule="auto"/>
        <w:jc w:val="center"/>
        <w:textAlignment w:val="baseline"/>
        <w:rPr>
          <w:rFonts w:ascii="Times New Roman" w:eastAsia="Times New Roman" w:hAnsi="Times New Roman" w:cs="Times New Roman"/>
          <w:b/>
          <w:bCs/>
          <w:color w:val="000000"/>
          <w:sz w:val="36"/>
          <w:szCs w:val="36"/>
        </w:rPr>
      </w:pPr>
      <w:r w:rsidRPr="00D358FA">
        <w:rPr>
          <w:rFonts w:ascii="Times New Roman" w:eastAsia="Times New Roman" w:hAnsi="Times New Roman" w:cs="Times New Roman"/>
          <w:b/>
          <w:bCs/>
          <w:color w:val="000000"/>
          <w:sz w:val="36"/>
          <w:szCs w:val="36"/>
        </w:rPr>
        <w:t>Madison County School Board</w:t>
      </w:r>
    </w:p>
    <w:p w:rsidR="00980832" w:rsidRDefault="00980832" w:rsidP="00980832">
      <w:pPr>
        <w:jc w:val="center"/>
        <w:rPr>
          <w:rFonts w:ascii="Bell MT" w:hAnsi="Bell MT"/>
          <w:sz w:val="24"/>
          <w:szCs w:val="24"/>
        </w:rPr>
      </w:pPr>
      <w:r>
        <w:rPr>
          <w:rFonts w:ascii="Bell MT" w:hAnsi="Bell MT"/>
          <w:sz w:val="24"/>
          <w:szCs w:val="24"/>
        </w:rPr>
        <w:t>July 2020</w:t>
      </w:r>
    </w:p>
    <w:p w:rsidR="00F51405" w:rsidRDefault="00F51405">
      <w:pPr>
        <w:rPr>
          <w:rFonts w:ascii="Bell MT" w:hAnsi="Bell MT"/>
          <w:sz w:val="24"/>
          <w:szCs w:val="24"/>
        </w:rPr>
      </w:pPr>
    </w:p>
    <w:p w:rsidR="00D77BDC" w:rsidRPr="00F51405" w:rsidRDefault="00980832">
      <w:pPr>
        <w:rPr>
          <w:rFonts w:ascii="Bell MT" w:hAnsi="Bell MT"/>
          <w:b/>
          <w:sz w:val="36"/>
          <w:szCs w:val="36"/>
        </w:rPr>
      </w:pPr>
      <w:r w:rsidRPr="00F51405">
        <w:rPr>
          <w:b/>
          <w:noProof/>
          <w:sz w:val="36"/>
          <w:szCs w:val="36"/>
        </w:rPr>
        <w:drawing>
          <wp:anchor distT="0" distB="0" distL="114300" distR="114300" simplePos="0" relativeHeight="251659264" behindDoc="1" locked="0" layoutInCell="1" allowOverlap="1" wp14:anchorId="6A6F82E3" wp14:editId="52FD274A">
            <wp:simplePos x="0" y="0"/>
            <wp:positionH relativeFrom="margin">
              <wp:posOffset>4019550</wp:posOffset>
            </wp:positionH>
            <wp:positionV relativeFrom="paragraph">
              <wp:posOffset>48260</wp:posOffset>
            </wp:positionV>
            <wp:extent cx="1247775" cy="1057275"/>
            <wp:effectExtent l="0" t="0" r="9525" b="9525"/>
            <wp:wrapTight wrapText="bothSides">
              <wp:wrapPolygon edited="0">
                <wp:start x="0" y="0"/>
                <wp:lineTo x="0" y="21405"/>
                <wp:lineTo x="21435" y="21405"/>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D Logo.jpg"/>
                    <pic:cNvPicPr/>
                  </pic:nvPicPr>
                  <pic:blipFill rotWithShape="1">
                    <a:blip r:embed="rId5">
                      <a:extLst>
                        <a:ext uri="{28A0092B-C50C-407E-A947-70E740481C1C}">
                          <a14:useLocalDpi xmlns:a14="http://schemas.microsoft.com/office/drawing/2010/main" val="0"/>
                        </a:ext>
                      </a:extLst>
                    </a:blip>
                    <a:srcRect l="41346" t="37772" r="42628" b="40276"/>
                    <a:stretch/>
                  </pic:blipFill>
                  <pic:spPr bwMode="auto">
                    <a:xfrm>
                      <a:off x="0" y="0"/>
                      <a:ext cx="124777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EDD" w:rsidRPr="00F51405">
        <w:rPr>
          <w:rFonts w:ascii="Bell MT" w:hAnsi="Bell MT"/>
          <w:b/>
          <w:sz w:val="36"/>
          <w:szCs w:val="36"/>
        </w:rPr>
        <w:t>Illness Protocol during this pandemic:</w:t>
      </w:r>
    </w:p>
    <w:p w:rsidR="00525EDD" w:rsidRPr="00F51405" w:rsidRDefault="00525EDD">
      <w:pPr>
        <w:rPr>
          <w:rFonts w:cstheme="minorHAnsi"/>
          <w:sz w:val="24"/>
          <w:szCs w:val="24"/>
        </w:rPr>
      </w:pPr>
      <w:r w:rsidRPr="00F51405">
        <w:rPr>
          <w:rFonts w:cstheme="minorHAnsi"/>
          <w:sz w:val="24"/>
          <w:szCs w:val="24"/>
        </w:rPr>
        <w:t>If you are sick and not sure what it is</w:t>
      </w:r>
      <w:r w:rsidR="00D358FA">
        <w:rPr>
          <w:rFonts w:cstheme="minorHAnsi"/>
          <w:sz w:val="24"/>
          <w:szCs w:val="24"/>
        </w:rPr>
        <w:t>…….</w:t>
      </w:r>
      <w:bookmarkStart w:id="0" w:name="_GoBack"/>
      <w:bookmarkEnd w:id="0"/>
    </w:p>
    <w:p w:rsidR="00525EDD" w:rsidRPr="00F51405" w:rsidRDefault="00525EDD" w:rsidP="00525EDD">
      <w:pPr>
        <w:pStyle w:val="ListParagraph"/>
        <w:numPr>
          <w:ilvl w:val="0"/>
          <w:numId w:val="1"/>
        </w:numPr>
        <w:rPr>
          <w:rFonts w:cstheme="minorHAnsi"/>
          <w:sz w:val="24"/>
          <w:szCs w:val="24"/>
        </w:rPr>
      </w:pPr>
      <w:r w:rsidRPr="00F51405">
        <w:rPr>
          <w:rFonts w:cstheme="minorHAnsi"/>
          <w:sz w:val="24"/>
          <w:szCs w:val="24"/>
        </w:rPr>
        <w:t>Stay home and seek medical advice</w:t>
      </w:r>
    </w:p>
    <w:p w:rsidR="00F51405" w:rsidRPr="00F51405" w:rsidRDefault="00F51405" w:rsidP="00525EDD">
      <w:pPr>
        <w:pStyle w:val="ListParagraph"/>
        <w:numPr>
          <w:ilvl w:val="1"/>
          <w:numId w:val="1"/>
        </w:numPr>
        <w:rPr>
          <w:rFonts w:cstheme="minorHAnsi"/>
          <w:b/>
          <w:sz w:val="24"/>
          <w:szCs w:val="24"/>
        </w:rPr>
      </w:pPr>
      <w:r w:rsidRPr="00F51405">
        <w:rPr>
          <w:rFonts w:cstheme="minorHAnsi"/>
          <w:b/>
          <w:sz w:val="24"/>
          <w:szCs w:val="24"/>
        </w:rPr>
        <w:t>Input your Sick Leave into Skyward</w:t>
      </w:r>
    </w:p>
    <w:p w:rsidR="00525EDD" w:rsidRPr="00F51405" w:rsidRDefault="00525EDD" w:rsidP="00525EDD">
      <w:pPr>
        <w:pStyle w:val="ListParagraph"/>
        <w:numPr>
          <w:ilvl w:val="1"/>
          <w:numId w:val="1"/>
        </w:numPr>
        <w:rPr>
          <w:rFonts w:cstheme="minorHAnsi"/>
          <w:sz w:val="24"/>
          <w:szCs w:val="24"/>
        </w:rPr>
      </w:pPr>
      <w:r w:rsidRPr="00F51405">
        <w:rPr>
          <w:rFonts w:cstheme="minorHAnsi"/>
          <w:sz w:val="24"/>
          <w:szCs w:val="24"/>
        </w:rPr>
        <w:t>Visit your physician or</w:t>
      </w:r>
    </w:p>
    <w:p w:rsidR="00525EDD" w:rsidRPr="00F51405" w:rsidRDefault="00525EDD" w:rsidP="00525EDD">
      <w:pPr>
        <w:pStyle w:val="ListParagraph"/>
        <w:numPr>
          <w:ilvl w:val="1"/>
          <w:numId w:val="1"/>
        </w:numPr>
        <w:rPr>
          <w:rFonts w:cstheme="minorHAnsi"/>
          <w:sz w:val="24"/>
          <w:szCs w:val="24"/>
        </w:rPr>
      </w:pPr>
      <w:r w:rsidRPr="00F51405">
        <w:rPr>
          <w:rFonts w:cstheme="minorHAnsi"/>
          <w:sz w:val="24"/>
          <w:szCs w:val="24"/>
        </w:rPr>
        <w:t>Contact the health department</w:t>
      </w:r>
    </w:p>
    <w:p w:rsidR="00F51405" w:rsidRDefault="00525EDD" w:rsidP="00525EDD">
      <w:pPr>
        <w:pStyle w:val="ListParagraph"/>
        <w:numPr>
          <w:ilvl w:val="1"/>
          <w:numId w:val="1"/>
        </w:numPr>
        <w:rPr>
          <w:rFonts w:cstheme="minorHAnsi"/>
          <w:sz w:val="24"/>
          <w:szCs w:val="24"/>
        </w:rPr>
      </w:pPr>
      <w:r w:rsidRPr="00F51405">
        <w:rPr>
          <w:rFonts w:cstheme="minorHAnsi"/>
          <w:sz w:val="24"/>
          <w:szCs w:val="24"/>
        </w:rPr>
        <w:t>If diagnosis is other than COVID-19 or COVID-19 contact, you may return to work.</w:t>
      </w:r>
      <w:r w:rsidR="00F51405" w:rsidRPr="00F51405">
        <w:rPr>
          <w:rFonts w:cstheme="minorHAnsi"/>
          <w:sz w:val="24"/>
          <w:szCs w:val="24"/>
        </w:rPr>
        <w:t xml:space="preserve"> </w:t>
      </w:r>
    </w:p>
    <w:p w:rsidR="00525EDD" w:rsidRPr="00F51405" w:rsidRDefault="00F51405" w:rsidP="00F51405">
      <w:pPr>
        <w:rPr>
          <w:rFonts w:cstheme="minorHAnsi"/>
          <w:b/>
          <w:i/>
          <w:sz w:val="24"/>
          <w:szCs w:val="24"/>
        </w:rPr>
      </w:pPr>
      <w:r>
        <w:rPr>
          <w:rFonts w:cstheme="minorHAnsi"/>
          <w:b/>
          <w:i/>
          <w:sz w:val="24"/>
          <w:szCs w:val="24"/>
        </w:rPr>
        <w:t xml:space="preserve">**** </w:t>
      </w:r>
      <w:r w:rsidRPr="00F51405">
        <w:rPr>
          <w:rFonts w:cstheme="minorHAnsi"/>
          <w:b/>
          <w:i/>
          <w:sz w:val="24"/>
          <w:szCs w:val="24"/>
        </w:rPr>
        <w:t>From this point we may need documentation</w:t>
      </w:r>
    </w:p>
    <w:p w:rsidR="00525EDD" w:rsidRPr="00F51405" w:rsidRDefault="00525EDD" w:rsidP="00980832">
      <w:pPr>
        <w:spacing w:after="0"/>
        <w:rPr>
          <w:rFonts w:cstheme="minorHAnsi"/>
          <w:b/>
        </w:rPr>
      </w:pPr>
      <w:r w:rsidRPr="00F51405">
        <w:rPr>
          <w:rFonts w:cstheme="minorHAnsi"/>
          <w:b/>
        </w:rPr>
        <w:t>COVID-19 positive</w:t>
      </w:r>
    </w:p>
    <w:p w:rsidR="00525EDD" w:rsidRPr="00F51405" w:rsidRDefault="00525EDD" w:rsidP="00980832">
      <w:pPr>
        <w:spacing w:after="0"/>
        <w:rPr>
          <w:rFonts w:cstheme="minorHAnsi"/>
        </w:rPr>
      </w:pPr>
      <w:r w:rsidRPr="00F51405">
        <w:rPr>
          <w:rFonts w:cstheme="minorHAnsi"/>
        </w:rPr>
        <w:t>You will need 2 negative tests (taken in Florida) before you may return to work.</w:t>
      </w:r>
    </w:p>
    <w:p w:rsidR="00980832" w:rsidRPr="00F51405" w:rsidRDefault="00980832" w:rsidP="00980832">
      <w:pPr>
        <w:spacing w:after="0"/>
        <w:rPr>
          <w:rFonts w:cstheme="minorHAnsi"/>
        </w:rPr>
      </w:pPr>
    </w:p>
    <w:p w:rsidR="00525EDD" w:rsidRPr="00F51405" w:rsidRDefault="00525EDD" w:rsidP="00980832">
      <w:pPr>
        <w:spacing w:after="0"/>
        <w:rPr>
          <w:rFonts w:cstheme="minorHAnsi"/>
          <w:b/>
        </w:rPr>
      </w:pPr>
      <w:r w:rsidRPr="00F51405">
        <w:rPr>
          <w:rFonts w:cstheme="minorHAnsi"/>
          <w:b/>
        </w:rPr>
        <w:t>COVID-19 contact</w:t>
      </w:r>
    </w:p>
    <w:p w:rsidR="00525EDD" w:rsidRPr="00F51405" w:rsidRDefault="00525EDD" w:rsidP="00980832">
      <w:pPr>
        <w:spacing w:after="0"/>
        <w:rPr>
          <w:rFonts w:cstheme="minorHAnsi"/>
        </w:rPr>
      </w:pPr>
      <w:r w:rsidRPr="00F51405">
        <w:rPr>
          <w:rFonts w:cstheme="minorHAnsi"/>
        </w:rPr>
        <w:t xml:space="preserve">You </w:t>
      </w:r>
      <w:r w:rsidR="00F51405" w:rsidRPr="00F51405">
        <w:rPr>
          <w:rFonts w:cstheme="minorHAnsi"/>
        </w:rPr>
        <w:t>may</w:t>
      </w:r>
      <w:r w:rsidRPr="00F51405">
        <w:rPr>
          <w:rFonts w:cstheme="minorHAnsi"/>
        </w:rPr>
        <w:t xml:space="preserve"> be asked to self</w:t>
      </w:r>
      <w:r w:rsidR="005A551E" w:rsidRPr="00F51405">
        <w:rPr>
          <w:rFonts w:cstheme="minorHAnsi"/>
        </w:rPr>
        <w:t>-</w:t>
      </w:r>
      <w:r w:rsidRPr="00F51405">
        <w:rPr>
          <w:rFonts w:cstheme="minorHAnsi"/>
        </w:rPr>
        <w:t xml:space="preserve">isolate for </w:t>
      </w:r>
      <w:r w:rsidR="005A551E" w:rsidRPr="00F51405">
        <w:rPr>
          <w:rFonts w:cstheme="minorHAnsi"/>
        </w:rPr>
        <w:t xml:space="preserve">14 days.  </w:t>
      </w:r>
      <w:r w:rsidR="005A551E" w:rsidRPr="00F51405">
        <w:rPr>
          <w:rFonts w:cstheme="minorHAnsi"/>
          <w:u w:val="single"/>
        </w:rPr>
        <w:t>Your Health provider should give you a note</w:t>
      </w:r>
      <w:r w:rsidR="005A551E" w:rsidRPr="00F51405">
        <w:rPr>
          <w:rFonts w:cstheme="minorHAnsi"/>
        </w:rPr>
        <w:t>.</w:t>
      </w:r>
    </w:p>
    <w:p w:rsidR="005A551E" w:rsidRPr="00F51405" w:rsidRDefault="00F51405" w:rsidP="00980832">
      <w:pPr>
        <w:spacing w:after="0"/>
        <w:rPr>
          <w:rFonts w:cstheme="minorHAnsi"/>
        </w:rPr>
      </w:pPr>
      <w:r w:rsidRPr="00F51405">
        <w:rPr>
          <w:rFonts w:cstheme="minorHAnsi"/>
          <w:color w:val="201F1E"/>
          <w:shd w:val="clear" w:color="auto" w:fill="FFFFFF"/>
        </w:rPr>
        <w:t xml:space="preserve">If </w:t>
      </w:r>
      <w:r w:rsidRPr="00F51405">
        <w:rPr>
          <w:rFonts w:cstheme="minorHAnsi"/>
          <w:color w:val="201F1E"/>
          <w:shd w:val="clear" w:color="auto" w:fill="FFFFFF"/>
        </w:rPr>
        <w:t>you</w:t>
      </w:r>
      <w:r w:rsidRPr="00F51405">
        <w:rPr>
          <w:rFonts w:cstheme="minorHAnsi"/>
          <w:color w:val="201F1E"/>
          <w:shd w:val="clear" w:color="auto" w:fill="FFFFFF"/>
        </w:rPr>
        <w:t xml:space="preserve"> been isolated by the health department, </w:t>
      </w:r>
      <w:r w:rsidRPr="00F51405">
        <w:rPr>
          <w:rFonts w:cstheme="minorHAnsi"/>
          <w:color w:val="201F1E"/>
          <w:shd w:val="clear" w:color="auto" w:fill="FFFFFF"/>
        </w:rPr>
        <w:t>you</w:t>
      </w:r>
      <w:r w:rsidRPr="00F51405">
        <w:rPr>
          <w:rFonts w:cstheme="minorHAnsi"/>
          <w:color w:val="201F1E"/>
          <w:shd w:val="clear" w:color="auto" w:fill="FFFFFF"/>
        </w:rPr>
        <w:t xml:space="preserve"> will </w:t>
      </w:r>
      <w:r w:rsidRPr="00F51405">
        <w:rPr>
          <w:rFonts w:cstheme="minorHAnsi"/>
          <w:color w:val="201F1E"/>
          <w:shd w:val="clear" w:color="auto" w:fill="FFFFFF"/>
        </w:rPr>
        <w:t>receive</w:t>
      </w:r>
      <w:r w:rsidRPr="00F51405">
        <w:rPr>
          <w:rFonts w:cstheme="minorHAnsi"/>
          <w:color w:val="201F1E"/>
          <w:shd w:val="clear" w:color="auto" w:fill="FFFFFF"/>
        </w:rPr>
        <w:t xml:space="preserve"> an isolation letter</w:t>
      </w:r>
      <w:r w:rsidRPr="00F51405">
        <w:rPr>
          <w:rFonts w:cstheme="minorHAnsi"/>
          <w:color w:val="201F1E"/>
          <w:shd w:val="clear" w:color="auto" w:fill="FFFFFF"/>
        </w:rPr>
        <w:t xml:space="preserve"> (Ask for the letter if you do not receive one)</w:t>
      </w:r>
      <w:r w:rsidRPr="00F51405">
        <w:rPr>
          <w:rFonts w:cstheme="minorHAnsi"/>
          <w:color w:val="201F1E"/>
          <w:shd w:val="clear" w:color="auto" w:fill="FFFFFF"/>
        </w:rPr>
        <w:t>.  </w:t>
      </w:r>
      <w:r w:rsidRPr="00F51405">
        <w:rPr>
          <w:rFonts w:cstheme="minorHAnsi"/>
          <w:color w:val="201F1E"/>
          <w:shd w:val="clear" w:color="auto" w:fill="FFFFFF"/>
        </w:rPr>
        <w:t>You</w:t>
      </w:r>
      <w:r w:rsidRPr="00F51405">
        <w:rPr>
          <w:rFonts w:cstheme="minorHAnsi"/>
          <w:color w:val="201F1E"/>
          <w:shd w:val="clear" w:color="auto" w:fill="FFFFFF"/>
        </w:rPr>
        <w:t xml:space="preserve"> will also </w:t>
      </w:r>
      <w:r w:rsidRPr="00F51405">
        <w:rPr>
          <w:rFonts w:cstheme="minorHAnsi"/>
          <w:color w:val="201F1E"/>
          <w:shd w:val="clear" w:color="auto" w:fill="FFFFFF"/>
        </w:rPr>
        <w:t>receive</w:t>
      </w:r>
      <w:r w:rsidRPr="00F51405">
        <w:rPr>
          <w:rFonts w:cstheme="minorHAnsi"/>
          <w:color w:val="201F1E"/>
          <w:shd w:val="clear" w:color="auto" w:fill="FFFFFF"/>
        </w:rPr>
        <w:t xml:space="preserve"> a letter removing </w:t>
      </w:r>
      <w:r w:rsidRPr="00F51405">
        <w:rPr>
          <w:rFonts w:cstheme="minorHAnsi"/>
          <w:color w:val="201F1E"/>
          <w:shd w:val="clear" w:color="auto" w:fill="FFFFFF"/>
        </w:rPr>
        <w:t>you</w:t>
      </w:r>
      <w:r w:rsidRPr="00F51405">
        <w:rPr>
          <w:rFonts w:cstheme="minorHAnsi"/>
          <w:color w:val="201F1E"/>
          <w:shd w:val="clear" w:color="auto" w:fill="FFFFFF"/>
        </w:rPr>
        <w:t xml:space="preserve"> from isolation as well.  These letters should be shared with </w:t>
      </w:r>
      <w:r w:rsidRPr="00F51405">
        <w:rPr>
          <w:rFonts w:cstheme="minorHAnsi"/>
          <w:color w:val="201F1E"/>
          <w:shd w:val="clear" w:color="auto" w:fill="FFFFFF"/>
        </w:rPr>
        <w:t>your</w:t>
      </w:r>
      <w:r w:rsidRPr="00F51405">
        <w:rPr>
          <w:rFonts w:cstheme="minorHAnsi"/>
          <w:color w:val="201F1E"/>
          <w:shd w:val="clear" w:color="auto" w:fill="FFFFFF"/>
        </w:rPr>
        <w:t xml:space="preserve"> employers if needed for verification of isolation status.  </w:t>
      </w:r>
      <w:r w:rsidRPr="00F51405">
        <w:rPr>
          <w:rFonts w:cstheme="minorHAnsi"/>
          <w:i/>
          <w:color w:val="201F1E"/>
          <w:shd w:val="clear" w:color="auto" w:fill="FFFFFF"/>
        </w:rPr>
        <w:t>As for determining whether the individual had the virus, it is up to the employee if they choose to share protected health information with their supervisor.</w:t>
      </w:r>
    </w:p>
    <w:p w:rsidR="00F51405" w:rsidRPr="00F51405" w:rsidRDefault="00F51405" w:rsidP="00F51405">
      <w:pPr>
        <w:shd w:val="clear" w:color="auto" w:fill="FFFFFF"/>
        <w:spacing w:after="0" w:line="240" w:lineRule="auto"/>
        <w:rPr>
          <w:rFonts w:eastAsia="Times New Roman" w:cstheme="minorHAnsi"/>
          <w:color w:val="212121"/>
        </w:rPr>
      </w:pPr>
    </w:p>
    <w:p w:rsidR="00F50DE4" w:rsidRPr="00F51405" w:rsidRDefault="00F50DE4" w:rsidP="00F50DE4">
      <w:pPr>
        <w:shd w:val="clear" w:color="auto" w:fill="FFFFFF"/>
        <w:spacing w:after="300" w:line="240" w:lineRule="auto"/>
        <w:rPr>
          <w:rFonts w:eastAsia="Times New Roman" w:cstheme="minorHAnsi"/>
          <w:color w:val="212121"/>
        </w:rPr>
      </w:pPr>
      <w:r w:rsidRPr="00F51405">
        <w:rPr>
          <w:rFonts w:eastAsia="Times New Roman" w:cstheme="minorHAnsi"/>
          <w:color w:val="212121"/>
        </w:rPr>
        <w:t>The </w:t>
      </w:r>
      <w:r w:rsidRPr="00F51405">
        <w:rPr>
          <w:rFonts w:eastAsia="Times New Roman" w:cstheme="minorHAnsi"/>
          <w:b/>
          <w:bCs/>
          <w:color w:val="212121"/>
        </w:rPr>
        <w:t>Families First Coronavirus Response Act (FFCRA or Act)</w:t>
      </w:r>
      <w:r w:rsidRPr="00F51405">
        <w:rPr>
          <w:rFonts w:eastAsia="Times New Roman" w:cstheme="minorHAnsi"/>
          <w:color w:val="212121"/>
        </w:rPr>
        <w:t>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w:t>
      </w:r>
    </w:p>
    <w:p w:rsidR="00F50DE4" w:rsidRPr="00F51405" w:rsidRDefault="00F50DE4" w:rsidP="00F50DE4">
      <w:pPr>
        <w:shd w:val="clear" w:color="auto" w:fill="FFFFFF"/>
        <w:spacing w:after="300" w:line="240" w:lineRule="auto"/>
        <w:rPr>
          <w:rFonts w:eastAsia="Times New Roman" w:cstheme="minorHAnsi"/>
          <w:color w:val="212121"/>
        </w:rPr>
      </w:pPr>
      <w:r w:rsidRPr="00F51405">
        <w:rPr>
          <w:rFonts w:eastAsia="Times New Roman" w:cstheme="minorHAnsi"/>
          <w:color w:val="212121"/>
        </w:rPr>
        <w:t>Generally, the Act provides that employees of covered employers are eligible for:</w:t>
      </w:r>
    </w:p>
    <w:p w:rsidR="00F50DE4" w:rsidRPr="00F51405" w:rsidRDefault="00F50DE4" w:rsidP="00F50DE4">
      <w:pPr>
        <w:numPr>
          <w:ilvl w:val="0"/>
          <w:numId w:val="2"/>
        </w:numPr>
        <w:shd w:val="clear" w:color="auto" w:fill="FFFFFF"/>
        <w:spacing w:after="60" w:line="240" w:lineRule="auto"/>
        <w:ind w:left="288"/>
        <w:textAlignment w:val="top"/>
        <w:rPr>
          <w:rFonts w:eastAsia="Times New Roman" w:cstheme="minorHAnsi"/>
          <w:color w:val="212121"/>
        </w:rPr>
      </w:pPr>
      <w:r w:rsidRPr="00F51405">
        <w:rPr>
          <w:rFonts w:eastAsia="Times New Roman" w:cstheme="minorHAnsi"/>
          <w:i/>
          <w:iCs/>
          <w:color w:val="212121"/>
        </w:rPr>
        <w:t>Two weeks (up to 80 hours) of </w:t>
      </w:r>
      <w:r w:rsidRPr="00F51405">
        <w:rPr>
          <w:rFonts w:eastAsia="Times New Roman" w:cstheme="minorHAnsi"/>
          <w:b/>
          <w:bCs/>
          <w:i/>
          <w:iCs/>
          <w:color w:val="212121"/>
        </w:rPr>
        <w:t>paid sick leave </w:t>
      </w:r>
      <w:r w:rsidRPr="00F51405">
        <w:rPr>
          <w:rFonts w:eastAsia="Times New Roman" w:cstheme="minorHAnsi"/>
          <w:i/>
          <w:iCs/>
          <w:color w:val="212121"/>
        </w:rPr>
        <w:t>at the employee’s regular </w:t>
      </w:r>
      <w:r w:rsidRPr="00F51405">
        <w:rPr>
          <w:rFonts w:eastAsia="Times New Roman" w:cstheme="minorHAnsi"/>
          <w:color w:val="212121"/>
        </w:rPr>
        <w:t>rate of pay where the employee is unable to work because the employee is quarantined (pursuant to Federal, State, or local government order or advice of a health care provider), and/or experiencing COVID-19 symptoms and seeking a medical diagnosis; or</w:t>
      </w:r>
    </w:p>
    <w:p w:rsidR="00F50DE4" w:rsidRPr="00F51405" w:rsidRDefault="00F50DE4" w:rsidP="00F50DE4">
      <w:pPr>
        <w:numPr>
          <w:ilvl w:val="0"/>
          <w:numId w:val="2"/>
        </w:numPr>
        <w:shd w:val="clear" w:color="auto" w:fill="FFFFFF"/>
        <w:spacing w:after="60" w:line="240" w:lineRule="auto"/>
        <w:ind w:left="288"/>
        <w:textAlignment w:val="top"/>
        <w:rPr>
          <w:rFonts w:eastAsia="Times New Roman" w:cstheme="minorHAnsi"/>
          <w:color w:val="212121"/>
        </w:rPr>
      </w:pPr>
      <w:r w:rsidRPr="00F51405">
        <w:rPr>
          <w:rFonts w:eastAsia="Times New Roman" w:cstheme="minorHAnsi"/>
          <w:i/>
          <w:iCs/>
          <w:color w:val="212121"/>
        </w:rPr>
        <w:t>Two weeks (up to 80 hours) of </w:t>
      </w:r>
      <w:r w:rsidRPr="00F51405">
        <w:rPr>
          <w:rFonts w:eastAsia="Times New Roman" w:cstheme="minorHAnsi"/>
          <w:b/>
          <w:bCs/>
          <w:i/>
          <w:iCs/>
          <w:color w:val="212121"/>
        </w:rPr>
        <w:t>paid sick leave </w:t>
      </w:r>
      <w:r w:rsidRPr="00F51405">
        <w:rPr>
          <w:rFonts w:eastAsia="Times New Roman" w:cstheme="minorHAnsi"/>
          <w:i/>
          <w:iCs/>
          <w:color w:val="212121"/>
        </w:rPr>
        <w:t>at two-thirds the employee’s regular rate of pay</w:t>
      </w:r>
      <w:r w:rsidRPr="00F51405">
        <w:rPr>
          <w:rFonts w:eastAsia="Times New Roman" w:cstheme="minorHAnsi"/>
          <w:color w:val="212121"/>
        </w:rPr>
        <w:t>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rsidR="005A551E" w:rsidRPr="00F51405" w:rsidRDefault="00F50DE4" w:rsidP="00024D32">
      <w:pPr>
        <w:numPr>
          <w:ilvl w:val="0"/>
          <w:numId w:val="2"/>
        </w:numPr>
        <w:shd w:val="clear" w:color="auto" w:fill="FFFFFF"/>
        <w:spacing w:after="0" w:line="240" w:lineRule="auto"/>
        <w:ind w:left="288"/>
        <w:textAlignment w:val="top"/>
        <w:rPr>
          <w:rFonts w:cstheme="minorHAnsi"/>
          <w:sz w:val="24"/>
          <w:szCs w:val="24"/>
        </w:rPr>
      </w:pPr>
      <w:r w:rsidRPr="00F51405">
        <w:rPr>
          <w:rFonts w:eastAsia="Times New Roman" w:cstheme="minorHAnsi"/>
          <w:i/>
          <w:iCs/>
          <w:color w:val="212121"/>
        </w:rPr>
        <w:t>Up to an additional 10 weeks of </w:t>
      </w:r>
      <w:r w:rsidRPr="00F51405">
        <w:rPr>
          <w:rFonts w:eastAsia="Times New Roman" w:cstheme="minorHAnsi"/>
          <w:b/>
          <w:bCs/>
          <w:i/>
          <w:iCs/>
          <w:color w:val="212121"/>
        </w:rPr>
        <w:t>paid expanded family and medical leave</w:t>
      </w:r>
      <w:r w:rsidRPr="00F51405">
        <w:rPr>
          <w:rFonts w:eastAsia="Times New Roman" w:cstheme="minorHAnsi"/>
          <w:i/>
          <w:iCs/>
          <w:color w:val="212121"/>
        </w:rPr>
        <w:t> at two-thirds the employee’s regular rate of pay </w:t>
      </w:r>
      <w:r w:rsidRPr="00F51405">
        <w:rPr>
          <w:rFonts w:eastAsia="Times New Roman" w:cstheme="minorHAnsi"/>
          <w:color w:val="212121"/>
        </w:rPr>
        <w:t>where an employee, who has been employed for at least 30 calendar days, is unable to work due to a bona fide need for leave to care for a child whose school or child care provider is closed or unavailable for reasons related to COVID-19.</w:t>
      </w:r>
    </w:p>
    <w:sectPr w:rsidR="005A551E" w:rsidRPr="00F51405" w:rsidSect="00D358F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6FE0"/>
    <w:multiLevelType w:val="multilevel"/>
    <w:tmpl w:val="508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8623B"/>
    <w:multiLevelType w:val="hybridMultilevel"/>
    <w:tmpl w:val="9EDA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DD"/>
    <w:rsid w:val="00034920"/>
    <w:rsid w:val="00520E86"/>
    <w:rsid w:val="00525EDD"/>
    <w:rsid w:val="005A551E"/>
    <w:rsid w:val="00980832"/>
    <w:rsid w:val="00D358FA"/>
    <w:rsid w:val="00F50DE4"/>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FBC"/>
  <w15:chartTrackingRefBased/>
  <w15:docId w15:val="{8651F9E8-18EB-4C70-9EF7-E3817AF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Joseph</dc:creator>
  <cp:keywords/>
  <dc:description/>
  <cp:lastModifiedBy>Shirley Joseph</cp:lastModifiedBy>
  <cp:revision>2</cp:revision>
  <dcterms:created xsi:type="dcterms:W3CDTF">2020-07-06T15:58:00Z</dcterms:created>
  <dcterms:modified xsi:type="dcterms:W3CDTF">2020-07-06T15:58:00Z</dcterms:modified>
</cp:coreProperties>
</file>